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2D9C">
      <w:pPr>
        <w:spacing w:before="0" w:beforeAutospacing="0" w:after="0" w:afterAutospacing="0" w:line="240" w:lineRule="auto"/>
        <w:jc w:val="center"/>
        <w:rPr>
          <w:rFonts w:hint="default" w:ascii="Arial" w:hAnsi="Arial" w:eastAsia="Times New Roman" w:cs="Arial"/>
          <w:b/>
          <w:color w:val="00000A"/>
          <w:sz w:val="24"/>
          <w:szCs w:val="24"/>
          <w:lang w:val="ru-RU" w:eastAsia="ru-RU" w:bidi="ar-SA"/>
        </w:rPr>
      </w:pPr>
      <w:r>
        <w:rPr>
          <w:rFonts w:hint="default" w:ascii="Arial" w:hAnsi="Arial" w:eastAsia="Times New Roman" w:cs="Arial"/>
          <w:b/>
          <w:color w:val="00000A"/>
          <w:sz w:val="24"/>
          <w:szCs w:val="24"/>
          <w:lang w:val="ru-RU" w:eastAsia="ru-RU" w:bidi="ar-SA"/>
        </w:rPr>
        <w:drawing>
          <wp:inline distT="0" distB="0" distL="0" distR="0">
            <wp:extent cx="1076325" cy="1133475"/>
            <wp:effectExtent l="0" t="0" r="9525" b="9525"/>
            <wp:docPr id="1" name="Рисунок 1" descr="C:\Users\9745~1\AppData\Local\Temp\ksohtml888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745~1\AppData\Local\Temp\ksohtml8880\wps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3C2293">
      <w:pPr>
        <w:spacing w:before="0" w:beforeAutospacing="0" w:after="0" w:afterAutospacing="0" w:line="271" w:lineRule="auto"/>
        <w:jc w:val="both"/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  <w:t xml:space="preserve"> </w:t>
      </w:r>
    </w:p>
    <w:p w14:paraId="276ABD9A">
      <w:pPr>
        <w:shd w:val="clear" w:color="auto" w:fill="FFFFFF"/>
        <w:spacing w:before="0" w:beforeAutospacing="0" w:after="0" w:afterAutospacing="0" w:line="271" w:lineRule="auto"/>
        <w:jc w:val="center"/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  <w:t>СОВЕТ НАРОДНЫХ ДЕПУТАТОВ  НАГАВСКОГО СЕЛЬСКОГО ПОСЕЛЕНИЯ</w:t>
      </w:r>
    </w:p>
    <w:p w14:paraId="0CA8C6D9">
      <w:pPr>
        <w:shd w:val="clear" w:color="auto" w:fill="FFFFFF"/>
        <w:spacing w:before="0" w:beforeAutospacing="0" w:after="0" w:afterAutospacing="0" w:line="271" w:lineRule="auto"/>
        <w:jc w:val="center"/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  <w:t xml:space="preserve">КОТЕЛЬНИКОВСКОГО МУНИЦИПАЛЬНОГО РАЙОНА </w:t>
      </w:r>
    </w:p>
    <w:p w14:paraId="1AE357F1">
      <w:pPr>
        <w:shd w:val="clear" w:color="auto" w:fill="FFFFFF"/>
        <w:spacing w:before="0" w:beforeAutospacing="0" w:after="0" w:afterAutospacing="0" w:line="271" w:lineRule="auto"/>
        <w:jc w:val="center"/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  <w:t>ВОЛГОГРАДСКОЙ ОБЛАСТИ</w:t>
      </w:r>
    </w:p>
    <w:p w14:paraId="60ED0E77">
      <w:pPr>
        <w:shd w:val="clear" w:color="auto" w:fill="FFFFFF"/>
        <w:spacing w:before="0" w:beforeAutospacing="0" w:after="0" w:afterAutospacing="0" w:line="271" w:lineRule="auto"/>
        <w:jc w:val="center"/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  <w:t xml:space="preserve"> </w:t>
      </w:r>
    </w:p>
    <w:p w14:paraId="191B6D2F">
      <w:pPr>
        <w:shd w:val="clear" w:color="auto" w:fill="FFFFFF"/>
        <w:spacing w:before="0" w:beforeAutospacing="0" w:after="0" w:afterAutospacing="0" w:line="271" w:lineRule="auto"/>
        <w:jc w:val="center"/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</w:pPr>
      <w:r>
        <w:rPr>
          <w:rFonts w:hint="default" w:ascii="Arial" w:hAnsi="Arial" w:eastAsia="SimSun" w:cs="Arial"/>
          <w:b/>
          <w:color w:val="00000A"/>
          <w:sz w:val="24"/>
          <w:szCs w:val="24"/>
          <w:lang w:val="ru-RU" w:eastAsia="ru-RU"/>
        </w:rPr>
        <w:t>Р Е Ш Е Н И Е</w:t>
      </w:r>
      <w:r>
        <w:rPr>
          <w:rFonts w:hint="default" w:ascii="Arial" w:hAnsi="Arial" w:eastAsia="SimSun" w:cs="Arial"/>
          <w:color w:val="00000A"/>
          <w:sz w:val="24"/>
          <w:szCs w:val="24"/>
          <w:lang w:val="ru-RU" w:eastAsia="ru-RU"/>
        </w:rPr>
        <w:t xml:space="preserve">  </w:t>
      </w:r>
    </w:p>
    <w:p w14:paraId="7B7E08DA">
      <w:pPr>
        <w:suppressAutoHyphens/>
        <w:spacing w:after="0" w:line="240" w:lineRule="auto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</w:p>
    <w:p w14:paraId="3EDAF32F">
      <w:pPr>
        <w:suppressAutoHyphens/>
        <w:spacing w:after="0" w:line="240" w:lineRule="auto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>от "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 w:eastAsia="zh-CN"/>
        </w:rPr>
        <w:t xml:space="preserve">15"октября </w:t>
      </w:r>
      <w:r>
        <w:rPr>
          <w:rFonts w:hint="default" w:ascii="Arial" w:hAnsi="Arial" w:eastAsia="Times New Roman" w:cs="Arial"/>
          <w:color w:val="000000"/>
          <w:spacing w:val="7"/>
          <w:sz w:val="24"/>
          <w:szCs w:val="24"/>
          <w:lang w:val="ru-RU" w:eastAsia="zh-CN"/>
        </w:rPr>
        <w:t xml:space="preserve">2025г.                                                  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>№</w:t>
      </w:r>
      <w:r>
        <w:rPr>
          <w:rFonts w:hint="default" w:ascii="Arial" w:hAnsi="Arial" w:eastAsia="Times New Roman" w:cs="Arial"/>
          <w:color w:val="000000"/>
          <w:spacing w:val="7"/>
          <w:sz w:val="24"/>
          <w:szCs w:val="24"/>
          <w:lang w:val="ru-RU" w:eastAsia="zh-CN"/>
        </w:rPr>
        <w:t xml:space="preserve">  29/51</w:t>
      </w:r>
      <w:bookmarkStart w:id="2" w:name="_GoBack"/>
      <w:bookmarkEnd w:id="2"/>
    </w:p>
    <w:p w14:paraId="70B0216C">
      <w:pPr>
        <w:suppressAutoHyphens/>
        <w:spacing w:after="0" w:line="240" w:lineRule="auto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</w:p>
    <w:p w14:paraId="2828C437">
      <w:pPr>
        <w:widowControl w:val="0"/>
        <w:autoSpaceDE w:val="0"/>
        <w:spacing w:after="0" w:line="240" w:lineRule="auto"/>
        <w:jc w:val="center"/>
        <w:rPr>
          <w:rFonts w:hint="default" w:ascii="Arial" w:hAnsi="Arial" w:eastAsia="Times New Roman" w:cs="Arial"/>
          <w:b/>
          <w:bCs/>
          <w:i w:val="0"/>
          <w:iCs w:val="0"/>
          <w:color w:val="00000A"/>
          <w:sz w:val="24"/>
          <w:szCs w:val="24"/>
          <w:u w:val="none"/>
          <w:lang w:val="ru-RU" w:eastAsia="en-US"/>
        </w:rPr>
      </w:pPr>
      <w:r>
        <w:rPr>
          <w:rFonts w:hint="default" w:ascii="Arial" w:hAnsi="Arial" w:eastAsia="Times New Roman" w:cs="Arial"/>
          <w:b/>
          <w:bCs/>
          <w:color w:val="00000A"/>
          <w:spacing w:val="-4"/>
          <w:sz w:val="24"/>
          <w:szCs w:val="24"/>
          <w:lang w:val="ru-RU" w:eastAsia="en-US"/>
        </w:rPr>
        <w:t xml:space="preserve">О внесении изменения в решение 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0A"/>
          <w:spacing w:val="-4"/>
          <w:sz w:val="24"/>
          <w:szCs w:val="24"/>
          <w:u w:val="none"/>
          <w:lang w:val="ru-RU" w:eastAsia="en-US"/>
        </w:rPr>
        <w:t>Совета народных депутатов 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b/>
          <w:bCs/>
          <w:iCs/>
          <w:color w:val="00000A"/>
          <w:sz w:val="24"/>
          <w:szCs w:val="24"/>
          <w:lang w:val="ru-RU" w:eastAsia="en-US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en-US"/>
        </w:rPr>
        <w:t>от "27" мая 2022 № 104/120</w:t>
      </w: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en-US"/>
        </w:rPr>
        <w:t>"</w:t>
      </w: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  <w:t xml:space="preserve">Об утверждении Правил благоустройства территории 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0A"/>
          <w:sz w:val="24"/>
          <w:szCs w:val="24"/>
          <w:u w:val="none"/>
          <w:lang w:val="ru-RU" w:eastAsia="zh-CN"/>
        </w:rPr>
        <w:t>Нагавского сельского поселения Котельниковского муниципального района Волгоградской области</w:t>
      </w:r>
    </w:p>
    <w:p w14:paraId="16A68B24">
      <w:pPr>
        <w:widowControl w:val="0"/>
        <w:suppressAutoHyphens/>
        <w:spacing w:after="0" w:line="360" w:lineRule="auto"/>
        <w:jc w:val="center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</w:p>
    <w:p w14:paraId="086352C3">
      <w:pPr>
        <w:spacing w:after="0" w:line="240" w:lineRule="auto"/>
        <w:ind w:firstLine="851"/>
        <w:jc w:val="both"/>
        <w:rPr>
          <w:rFonts w:hint="default" w:ascii="Arial" w:hAnsi="Arial" w:eastAsia="Times New Roman" w:cs="Arial"/>
          <w:i w:val="0"/>
          <w:iCs w:val="0"/>
          <w:color w:val="00000A"/>
          <w:spacing w:val="-6"/>
          <w:sz w:val="24"/>
          <w:szCs w:val="24"/>
          <w:u w:val="none"/>
          <w:lang w:val="ru-RU" w:eastAsia="zh-CN"/>
        </w:rPr>
      </w:pP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zh-CN"/>
        </w:rPr>
        <w:t>В соответствии с пунктом 37 статьи 1, статьей 55.25 Градостроительного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 кодекса Российской Федерации, статьей 45.1 Федерального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закона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 от 06 октября 2003 г. № 131-ФЗ "Об общих принципах организации местного самоуправления в Российской Федерации",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Законом Волгоградской области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>от 10 июля 2018 г. № 83-ОД "О порядке определения органами местного самоуправления границ прилегающих территорий"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и статьями Устава </w:t>
      </w:r>
      <w:r>
        <w:rPr>
          <w:rFonts w:hint="default" w:ascii="Arial" w:hAnsi="Arial" w:eastAsia="Times New Roman" w:cs="Arial"/>
          <w:i w:val="0"/>
          <w:iCs w:val="0"/>
          <w:color w:val="00000A"/>
          <w:sz w:val="24"/>
          <w:szCs w:val="24"/>
          <w:u w:val="none"/>
          <w:lang w:val="ru-RU" w:eastAsia="zh-CN"/>
        </w:rPr>
        <w:t>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, </w:t>
      </w:r>
      <w:r>
        <w:rPr>
          <w:rFonts w:hint="default" w:ascii="Arial" w:hAnsi="Arial" w:eastAsia="Times New Roman" w:cs="Arial"/>
          <w:i w:val="0"/>
          <w:iCs w:val="0"/>
          <w:color w:val="00000A"/>
          <w:spacing w:val="-6"/>
          <w:sz w:val="24"/>
          <w:szCs w:val="24"/>
          <w:u w:val="none"/>
          <w:lang w:val="ru-RU" w:eastAsia="zh-CN"/>
        </w:rPr>
        <w:t>Совет народных депутатов Нагавского сельского поселения Котельниковского муниципального района Волгоградской области</w:t>
      </w:r>
    </w:p>
    <w:p w14:paraId="4B083CE2">
      <w:pPr>
        <w:spacing w:after="0" w:line="240" w:lineRule="auto"/>
        <w:ind w:firstLine="851"/>
        <w:jc w:val="both"/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b/>
          <w:bCs/>
          <w:color w:val="00000A"/>
          <w:sz w:val="24"/>
          <w:szCs w:val="24"/>
          <w:lang w:val="ru-RU" w:eastAsia="zh-CN"/>
        </w:rPr>
        <w:t>решил:</w:t>
      </w:r>
    </w:p>
    <w:p w14:paraId="103FFDF9">
      <w:pPr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</w:p>
    <w:p w14:paraId="20AA5ADC">
      <w:pPr>
        <w:widowControl w:val="0"/>
        <w:suppressAutoHyphens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1. Внести в Правила благоустройства территории </w:t>
      </w:r>
      <w:r>
        <w:rPr>
          <w:rFonts w:hint="default" w:ascii="Arial" w:hAnsi="Arial" w:eastAsia="Times New Roman" w:cs="Arial"/>
          <w:i w:val="0"/>
          <w:iCs w:val="0"/>
          <w:color w:val="00000A"/>
          <w:sz w:val="24"/>
          <w:szCs w:val="24"/>
          <w:u w:val="none"/>
          <w:lang w:val="ru-RU" w:eastAsia="zh-CN"/>
        </w:rPr>
        <w:t>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i/>
          <w:iCs/>
          <w:color w:val="00000A"/>
          <w:sz w:val="24"/>
          <w:szCs w:val="24"/>
          <w:u w:val="single"/>
          <w:lang w:val="ru-RU" w:eastAsia="zh-CN"/>
        </w:rPr>
        <w:t>,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 утверждённые решением </w:t>
      </w:r>
      <w:r>
        <w:rPr>
          <w:rFonts w:hint="default" w:ascii="Arial" w:hAnsi="Arial" w:eastAsia="Times New Roman" w:cs="Arial"/>
          <w:i w:val="0"/>
          <w:iCs w:val="0"/>
          <w:color w:val="00000A"/>
          <w:sz w:val="24"/>
          <w:szCs w:val="24"/>
          <w:u w:val="none"/>
          <w:lang w:val="ru-RU" w:eastAsia="zh-CN"/>
        </w:rPr>
        <w:t>Совета народных депутатов 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 от "27" мая № 104/120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"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Об утверждении Правил благоустройства территории </w:t>
      </w:r>
      <w:r>
        <w:rPr>
          <w:rFonts w:hint="default" w:ascii="Arial" w:hAnsi="Arial" w:eastAsia="Times New Roman" w:cs="Arial"/>
          <w:i w:val="0"/>
          <w:iCs w:val="0"/>
          <w:color w:val="00000A"/>
          <w:sz w:val="24"/>
          <w:szCs w:val="24"/>
          <w:u w:val="none"/>
          <w:lang w:val="ru-RU" w:eastAsia="zh-CN"/>
        </w:rPr>
        <w:t>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iCs/>
          <w:color w:val="00000A"/>
          <w:sz w:val="24"/>
          <w:szCs w:val="24"/>
          <w:lang w:val="ru-RU" w:eastAsia="zh-CN"/>
        </w:rPr>
        <w:t xml:space="preserve">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  <w:t xml:space="preserve">изменение, дополнив разделом </w:t>
      </w:r>
      <w:r>
        <w:rPr>
          <w:rFonts w:hint="default" w:ascii="Arial" w:hAnsi="Arial" w:eastAsia="Times New Roman" w:cs="Arial"/>
          <w:iCs/>
          <w:color w:val="00000A"/>
          <w:sz w:val="24"/>
          <w:szCs w:val="24"/>
          <w:lang w:val="ru-RU" w:eastAsia="zh-CN"/>
        </w:rPr>
        <w:t>"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Порядок у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частия, в том числе финансового, собственников и (или)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земельных участков,  в содержании прилегающих территорий" следующего содержания:</w:t>
      </w:r>
    </w:p>
    <w:p w14:paraId="426C7E24">
      <w:pPr>
        <w:widowControl w:val="0"/>
        <w:suppressAutoHyphens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zh-CN"/>
        </w:rPr>
      </w:pPr>
    </w:p>
    <w:p w14:paraId="57300B36">
      <w:pPr>
        <w:spacing w:after="1" w:line="220" w:lineRule="atLeast"/>
        <w:ind w:firstLine="851"/>
        <w:jc w:val="center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pacing w:val="-4"/>
          <w:sz w:val="24"/>
          <w:szCs w:val="24"/>
          <w:lang w:val="ru-RU" w:eastAsia="en-US"/>
        </w:rPr>
        <w:t>"Порядок у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частия, в том числе финансового, собственников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и (или)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</w:t>
      </w:r>
    </w:p>
    <w:p w14:paraId="692AF22D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strike/>
          <w:color w:val="FF0000"/>
          <w:sz w:val="24"/>
          <w:szCs w:val="24"/>
          <w:lang w:val="ru-RU" w:eastAsia="en-US"/>
        </w:rPr>
      </w:pPr>
    </w:p>
    <w:p w14:paraId="2F99A734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1.1.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осуществляется следующими лицами (далее – лица, участвующие в содержании прилегающих территорий):</w:t>
      </w:r>
    </w:p>
    <w:p w14:paraId="34B03D39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1)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которыми не образованы или образованы по границам таких домов)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,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за исключением случаев передачи права владения лицам, указанным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14:paraId="68298A8C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2) лицами, которые владеют </w:t>
      </w:r>
      <w:bookmarkStart w:id="0" w:name="_Hlk107508900"/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зданием, строением, сооружением</w:t>
      </w:r>
      <w:bookmarkEnd w:id="0"/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земельным участком, сервитут)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здания, строения, сооружения,  земельного участка;</w:t>
      </w:r>
    </w:p>
    <w:p w14:paraId="1CB50AB5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 xml:space="preserve">3)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физическим или юридическим лицом, привлекаемым на основании договора 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собственником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здания, сооружения, или лицами, указанными в подпункте 2 настоящего пункта, в целях обеспечения безопасной эксплуатации здания, сооружения</w:t>
      </w: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 xml:space="preserve">. </w:t>
      </w:r>
    </w:p>
    <w:p w14:paraId="68688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1.2. В целях настоящего раздела Правил используются следующие понятия:</w:t>
      </w:r>
    </w:p>
    <w:p w14:paraId="0C09D73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Волгоградской области от 10.07.2018 № 83-ОД "О порядке определения органами местного самоуправления границ прилегающих территорий";</w:t>
      </w:r>
    </w:p>
    <w:p w14:paraId="40F45B5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14:paraId="5C4DC4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pacing w:val="-6"/>
          <w:sz w:val="24"/>
          <w:szCs w:val="24"/>
          <w:lang w:val="ru-RU" w:eastAsia="en-US"/>
        </w:rPr>
        <w:t>элементы благоустройства - декоративные, технические, планировочные,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конструктивные устройства, элементы озеленения, различные виды оборудования и оформления, в том числе фасадов зданий, строений, </w:t>
      </w:r>
      <w:r>
        <w:rPr>
          <w:rFonts w:hint="default" w:ascii="Arial" w:hAnsi="Arial" w:eastAsia="Times New Roman" w:cs="Arial"/>
          <w:color w:val="00000A"/>
          <w:spacing w:val="-6"/>
          <w:sz w:val="24"/>
          <w:szCs w:val="24"/>
          <w:lang w:val="ru-RU" w:eastAsia="en-US"/>
        </w:rPr>
        <w:t>сооружений, малые архитектурные формы, некапитальные нестационарные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строения и сооружения, информационные щиты и указатели, применяемые как составные части благоустройства территории;</w:t>
      </w:r>
    </w:p>
    <w:p w14:paraId="0CBDFF2B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газон - элемент благоустройства, представляющий собой участок поверхности с искусственно созданным травяным покрытием, ограниченный замкнутым контуром в виде ограждающих конструкций, бордюра</w:t>
      </w:r>
      <w:r>
        <w:rPr>
          <w:rFonts w:hint="default" w:ascii="Arial" w:hAnsi="Arial" w:eastAsia="Times New Roman" w:cs="Arial"/>
          <w:color w:val="0070C0"/>
          <w:sz w:val="24"/>
          <w:szCs w:val="24"/>
          <w:lang w:val="ru-RU" w:eastAsia="en-US"/>
        </w:rPr>
        <w:t xml:space="preserve">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и т.д.</w:t>
      </w:r>
    </w:p>
    <w:p w14:paraId="5FD60754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1.3. За лицами, участвующими в содержании прилегающих территорий,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закрепляются прилегающие территории в следующих границах:</w:t>
      </w:r>
    </w:p>
    <w:p w14:paraId="311BFB70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70C0"/>
          <w:spacing w:val="-4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1) в отношении индивидуальных жилых домов, домов  блокированной застройки – 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4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метров от границ земельного участка, на котором расположен индивидуальный жилой дом, дом блокированной застройки;</w:t>
      </w:r>
      <w:r>
        <w:rPr>
          <w:rFonts w:hint="default" w:ascii="Arial" w:hAnsi="Arial" w:eastAsia="Times New Roman" w:cs="Arial"/>
          <w:color w:val="0070C0"/>
          <w:spacing w:val="-4"/>
          <w:sz w:val="24"/>
          <w:szCs w:val="24"/>
          <w:lang w:val="ru-RU" w:eastAsia="en-US"/>
        </w:rPr>
        <w:t xml:space="preserve"> </w:t>
      </w:r>
    </w:p>
    <w:p w14:paraId="5EEF06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2) в отношении </w:t>
      </w:r>
      <w:r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  <w:t xml:space="preserve">земельных участков с разрешенным использованием для ведения личного подсобного хозяйства в границах населенных пунктов –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5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 метров от границ таких земельных участков;</w:t>
      </w:r>
    </w:p>
    <w:p w14:paraId="4CC5DA71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 xml:space="preserve">3) в отношении </w:t>
      </w:r>
      <w:bookmarkStart w:id="1" w:name="_Hlk107508956"/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зданий, строений, сооружений</w:t>
      </w:r>
      <w:bookmarkEnd w:id="1"/>
      <w:r>
        <w:rPr>
          <w:rFonts w:hint="default" w:ascii="Arial" w:hAnsi="Arial" w:eastAsia="Times New Roman" w:cs="Arial"/>
          <w:color w:val="00000A"/>
          <w:spacing w:val="-4"/>
          <w:sz w:val="24"/>
          <w:szCs w:val="24"/>
          <w:lang w:val="ru-RU" w:eastAsia="en-US"/>
        </w:rPr>
        <w:t>, являющихся объектами социального обслуживания, здравоохранения,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образования, культуры, физической культуры и спорта – 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5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метров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от границ таких зданий, строений, сооружений;</w:t>
      </w:r>
    </w:p>
    <w:p w14:paraId="5D5A06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4) в отношении зданий, строений, сооружений, являющихся объектами банковской и страховой деятельности, бытового обслуживания – 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10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 метров от границ таких зданий, строений, сооружений;   </w:t>
      </w:r>
    </w:p>
    <w:p w14:paraId="62CC7F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5) в отношении </w:t>
      </w:r>
      <w:r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  <w:t xml:space="preserve">некапитальных строений, сооружений -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10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 метров от границ таких </w:t>
      </w:r>
      <w:r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  <w:t>строений, сооружений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;</w:t>
      </w:r>
    </w:p>
    <w:p w14:paraId="74124E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6) для зданий, строений, сооружений, земельных участков (далее также – объекты), не предусмотренных подпунктами 1-5 настоящего пункта Правил - в пределах 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>10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 метров от границ таких объектов,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[за исключением многоквартирных домов]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vertAlign w:val="superscript"/>
          <w:lang w:val="ru-RU" w:eastAsia="en-US"/>
        </w:rPr>
        <w:t>2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.</w:t>
      </w:r>
    </w:p>
    <w:p w14:paraId="235B60B3">
      <w:pPr>
        <w:spacing w:after="1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1.4. Л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ица, участвующие в содержании прилегающих территорий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>(за исключением прилегающих территорий к индивидуальным жилым домам,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 домам блокированной застройки, </w:t>
      </w:r>
      <w:r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  <w:t>земельным участкам с разрешенным использованием для ведения личного подсобного хозяйства)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, в границах соответствующих прилегающих территорий осуществляют следующие виды работ: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vertAlign w:val="superscript"/>
          <w:lang w:val="ru-RU" w:eastAsia="en-US"/>
        </w:rPr>
        <w:footnoteReference w:id="0"/>
      </w:r>
    </w:p>
    <w:p w14:paraId="039985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уборка (очистка) прилегающей территории от мусора (в летний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 зимний периоды);</w:t>
      </w:r>
    </w:p>
    <w:p w14:paraId="7493A72C">
      <w:pPr>
        <w:spacing w:after="0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- скашивание травы при достижении высоты травяного покрова более 30 см (в летний период);   </w:t>
      </w:r>
    </w:p>
    <w:p w14:paraId="33AFBE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- скашивание, полив и очистка газона от мусора (в летний период);</w:t>
      </w:r>
    </w:p>
    <w:p w14:paraId="2B2EF8E1">
      <w:pPr>
        <w:spacing w:after="0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- обработка противогололедными материалами, очистка от снега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 наледи участка прилегающей территории, на котором осуществляется движение пешеходов, формирование снега и наледи в снежные валы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(в зимний период);</w:t>
      </w:r>
    </w:p>
    <w:p w14:paraId="63511FBB">
      <w:pPr>
        <w:spacing w:after="0" w:line="310" w:lineRule="exact"/>
        <w:ind w:firstLine="851"/>
        <w:jc w:val="both"/>
        <w:rPr>
          <w:rFonts w:hint="default" w:ascii="Arial" w:hAnsi="Arial" w:eastAsia="Times New Roman" w:cs="Arial"/>
          <w:b/>
          <w:bCs/>
          <w:color w:val="auto"/>
          <w:sz w:val="24"/>
          <w:szCs w:val="24"/>
          <w:vertAlign w:val="superscript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1.5.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Л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ица, участвующие в содержании прилегающих территорий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к индивидуальным жилым домам, домам блокированной застройки, </w:t>
      </w:r>
      <w:r>
        <w:rPr>
          <w:rFonts w:hint="default" w:ascii="Arial" w:hAnsi="Arial" w:eastAsia="Times New Roman" w:cs="Arial"/>
          <w:iCs/>
          <w:color w:val="auto"/>
          <w:sz w:val="24"/>
          <w:szCs w:val="24"/>
          <w:lang w:val="ru-RU" w:eastAsia="ru-RU"/>
        </w:rPr>
        <w:t>земельным участкам с разрешенным использованием для ведения личного подсобного хозяйства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, в границах соответствующих прилегающих территорий осуществляют следующие виды работ: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vertAlign w:val="superscript"/>
          <w:lang w:val="ru-RU" w:eastAsia="en-US"/>
        </w:rPr>
        <w:t xml:space="preserve"> </w:t>
      </w:r>
    </w:p>
    <w:p w14:paraId="3A3B26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 xml:space="preserve">-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уборка (очистка) прилегающей территории от мусора (в летний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 зимний периоды);</w:t>
      </w:r>
    </w:p>
    <w:p w14:paraId="2B822EF4">
      <w:pPr>
        <w:spacing w:after="0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- скашивание травы при достижении высоты травяного покрова более 30 см (в летний период).   </w:t>
      </w:r>
    </w:p>
    <w:p w14:paraId="7E41C8B4">
      <w:pPr>
        <w:spacing w:after="0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- очистка от снега и наледи участка прилегающей территории,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на котором осуществляется движение пешеходов (в зимний период);</w:t>
      </w:r>
    </w:p>
    <w:p w14:paraId="64FE6095">
      <w:pPr>
        <w:spacing w:after="1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>1.6. В случае наличия соглашения, заключенного физическими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>и (или)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территорий,</w:t>
      </w:r>
      <w:r>
        <w:rPr>
          <w:rFonts w:hint="default" w:ascii="Arial" w:hAnsi="Arial" w:eastAsia="Times New Roman" w:cs="Arial"/>
          <w:color w:val="FF0000"/>
          <w:sz w:val="24"/>
          <w:szCs w:val="24"/>
          <w:lang w:val="ru-RU" w:eastAsia="en-US"/>
        </w:rPr>
        <w:t xml:space="preserve">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видов и периодичности работ по содержанию прилегающих территорий, отличных от установленных 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en-US"/>
        </w:rPr>
        <w:t xml:space="preserve">настоящими Правилами,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подлежат применению положения соответствующего соглашения.</w:t>
      </w:r>
    </w:p>
    <w:p w14:paraId="0DCC0E32">
      <w:pPr>
        <w:spacing w:after="1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1.7.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Л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ица, участвующие в содержании прилегающих территорий, в границах соответствующих прилегающих территорий соблюдают следующие запреты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vertAlign w:val="superscript"/>
          <w:lang w:val="ru-RU" w:eastAsia="en-US"/>
        </w:rPr>
        <w:footnoteReference w:id="1"/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>:</w:t>
      </w:r>
    </w:p>
    <w:p w14:paraId="68495460">
      <w:pPr>
        <w:spacing w:after="1" w:line="310" w:lineRule="exac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1) использовать прилегающую территорию в целях осуществления хозяйственной деятельности;</w:t>
      </w:r>
    </w:p>
    <w:p w14:paraId="19B3B962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2) переставлять элементы благоустройства без согласования с собственником;</w:t>
      </w:r>
    </w:p>
    <w:p w14:paraId="6036DA43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3) повреждать зеленые насаждения;</w:t>
      </w:r>
    </w:p>
    <w:p w14:paraId="3360320E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4) хранить разукомплектованные транспортные средства;</w:t>
      </w:r>
    </w:p>
    <w:p w14:paraId="0C6D0447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5) размещать тару, промышленные товары и иные предметы торговли на тротуарах, газонах;</w:t>
      </w:r>
    </w:p>
    <w:p w14:paraId="4D49CC51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>6) выдвигать или перемещать с прилегающей территории снег и наледь на проезжую часть дорог и сооружения ливневой канализации;</w:t>
      </w:r>
    </w:p>
    <w:p w14:paraId="73777EC9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>7) ограждать прилегающую территорию;</w:t>
      </w:r>
    </w:p>
    <w:p w14:paraId="4A47CC32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>8) иные запреты, установленные законодательством Российской Федерации.</w:t>
      </w:r>
    </w:p>
    <w:p w14:paraId="0599114A">
      <w:pPr>
        <w:autoSpaceDE w:val="0"/>
        <w:autoSpaceDN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1.8. Участие, в том числе финансовое, в содержании прилегающей территории нескольких собственников и (или) лиц, которые владеют зданием, строением, сооружением, земельным участком на ином законном основании осуществляется с учетом соглашения между ними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br w:type="textWrapping"/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(при наличии соглашения).</w:t>
      </w:r>
    </w:p>
    <w:p w14:paraId="6155279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1.9.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В случае пересечения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 xml:space="preserve">прилегающих территорий двух или более объектов, имеющих одинаковый метраж, их границы определяются на равном удалении  между объектами. При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en-US"/>
        </w:rPr>
        <w:t xml:space="preserve">пересечении </w:t>
      </w:r>
      <w:r>
        <w:rPr>
          <w:rFonts w:hint="default" w:ascii="Arial" w:hAnsi="Arial" w:eastAsia="Times New Roman" w:cs="Arial"/>
          <w:color w:val="auto"/>
          <w:sz w:val="24"/>
          <w:szCs w:val="24"/>
          <w:lang w:val="ru-RU" w:eastAsia="ru-RU"/>
        </w:rPr>
        <w:t xml:space="preserve">прилегающих территорий двух или более объектов, имеющих различный метраж, их границы определяются </w:t>
      </w: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 xml:space="preserve">на расстоянии, пропорциональном общей площади каждого из указанных объектов. 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ru-RU" w:eastAsia="ru-RU"/>
        </w:rPr>
        <w:t>Границы прилегающих территорий, установленные настоящим пунктом, могут быть изменены путем заключения соглашения между собственниками и (или) иными законными владельцами объектов.</w:t>
      </w:r>
    </w:p>
    <w:p w14:paraId="12D508FA">
      <w:pPr>
        <w:spacing w:after="1" w:line="240" w:lineRule="auto"/>
        <w:ind w:firstLine="851"/>
        <w:jc w:val="both"/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</w:pP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 xml:space="preserve">1.10. Уполномоченный орган местного самоуправления </w:t>
      </w:r>
      <w:r>
        <w:rPr>
          <w:rFonts w:hint="default" w:ascii="Arial" w:hAnsi="Arial" w:eastAsia="Times New Roman" w:cs="Arial"/>
          <w:i w:val="0"/>
          <w:iCs w:val="0"/>
          <w:color w:val="auto"/>
          <w:sz w:val="24"/>
          <w:szCs w:val="24"/>
          <w:u w:val="none"/>
          <w:lang w:val="ru-RU" w:eastAsia="en-US"/>
        </w:rPr>
        <w:t>Нагавского сельского поселения Котельниковского муниципального района Волгоградской области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 xml:space="preserve"> представляет информацию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br w:type="textWrapping"/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>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br w:type="textWrapping"/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>в отношении которых установлены границы прилегающей территории,</w:t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br w:type="textWrapping"/>
      </w:r>
      <w:r>
        <w:rPr>
          <w:rFonts w:hint="default" w:ascii="Arial" w:hAnsi="Arial" w:eastAsia="Times New Roman" w:cs="Arial"/>
          <w:color w:val="auto"/>
          <w:spacing w:val="-6"/>
          <w:sz w:val="24"/>
          <w:szCs w:val="24"/>
          <w:lang w:val="ru-RU" w:eastAsia="ru-RU"/>
        </w:rPr>
        <w:t xml:space="preserve">в течение 10 рабочих дней со дня поступления соответствующего запроса, </w:t>
      </w:r>
      <w:r>
        <w:rPr>
          <w:rFonts w:hint="default" w:ascii="Arial" w:hAnsi="Arial" w:eastAsia="Times New Roman" w:cs="Arial"/>
          <w:iCs/>
          <w:color w:val="auto"/>
          <w:spacing w:val="-6"/>
          <w:sz w:val="24"/>
          <w:szCs w:val="24"/>
          <w:lang w:val="ru-RU" w:eastAsia="en-US"/>
        </w:rPr>
        <w:t>если иное не предусмотрено законодательством Российской Федерации, законодательством Волгоградской области.".</w:t>
      </w:r>
    </w:p>
    <w:p w14:paraId="11C621E2">
      <w:pPr>
        <w:spacing w:after="1" w:line="220" w:lineRule="atLeast"/>
        <w:ind w:firstLine="851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2. Настоящее решение вступает в силу со дня его официального опубликования.</w:t>
      </w:r>
    </w:p>
    <w:p w14:paraId="790EA461">
      <w:pPr>
        <w:spacing w:after="1" w:line="220" w:lineRule="atLeast"/>
        <w:ind w:firstLine="708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</w:p>
    <w:p w14:paraId="7F965DCA">
      <w:pPr>
        <w:spacing w:after="1" w:line="220" w:lineRule="atLeast"/>
        <w:ind w:firstLine="708"/>
        <w:jc w:val="both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</w:p>
    <w:p w14:paraId="44327904">
      <w:pPr>
        <w:widowControl w:val="0"/>
        <w:autoSpaceDE w:val="0"/>
        <w:spacing w:after="0" w:line="240" w:lineRule="exact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Глава Нагавского</w:t>
      </w:r>
    </w:p>
    <w:p w14:paraId="70D9069C">
      <w:pPr>
        <w:widowControl w:val="0"/>
        <w:autoSpaceDE w:val="0"/>
        <w:spacing w:after="0" w:line="240" w:lineRule="exact"/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</w:pPr>
      <w:r>
        <w:rPr>
          <w:rFonts w:hint="default" w:ascii="Arial" w:hAnsi="Arial" w:eastAsia="Times New Roman" w:cs="Arial"/>
          <w:color w:val="00000A"/>
          <w:sz w:val="24"/>
          <w:szCs w:val="24"/>
          <w:lang w:val="ru-RU" w:eastAsia="en-US"/>
        </w:rPr>
        <w:t>сельского поселения                                                   С.Г. Абсалямов</w:t>
      </w:r>
    </w:p>
    <w:p w14:paraId="5032FD9B"/>
    <w:sectPr>
      <w:headerReference r:id="rId4" w:type="default"/>
      <w:pgSz w:w="11906" w:h="16838"/>
      <w:pgMar w:top="709" w:right="1276" w:bottom="709" w:left="1559" w:header="709" w:footer="0" w:gutter="0"/>
      <w:cols w:space="720" w:num="1"/>
      <w:formProt w:val="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8F3544D">
      <w:pPr>
        <w:spacing w:after="0" w:line="240" w:lineRule="auto"/>
        <w:jc w:val="both"/>
        <w:rPr>
          <w:rFonts w:ascii="Calibri" w:hAnsi="Calibri" w:eastAsia="Times New Roman" w:cs="Calibri"/>
          <w:color w:val="00000A"/>
          <w:sz w:val="20"/>
          <w:szCs w:val="20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2"/>
          <w:szCs w:val="22"/>
          <w:vertAlign w:val="superscript"/>
          <w:lang w:val="ru-RU" w:eastAsia="en-US" w:bidi="ar-SA"/>
        </w:rPr>
        <w:footnoteRef/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eastAsia="en-US" w:bidi="ar-SA"/>
        </w:rPr>
        <w:t xml:space="preserve">Органом местного самоуправления </w:t>
      </w: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  <w:lang w:val="ru-RU" w:eastAsia="en-US" w:bidi="ar-SA"/>
        </w:rPr>
        <w:t>самостоятельно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eastAsia="en-US" w:bidi="ar-SA"/>
        </w:rPr>
        <w:t xml:space="preserve"> определяется перечень видов  работ по содержанию прилегающих территорий с учетом природно-климатических особенностей территории муниципального образования, численности населения, количества зданий, строений, сооружений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eastAsia="en-US" w:bidi="ar-SA"/>
        </w:rPr>
        <w:br w:type="textWrapping"/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eastAsia="en-US" w:bidi="ar-SA"/>
        </w:rPr>
        <w:t>и земельных участков, в отношении которых определяются границы прилегающей территории.</w:t>
      </w:r>
    </w:p>
  </w:footnote>
  <w:footnote w:id="1">
    <w:p w14:paraId="05D79B04">
      <w:pPr>
        <w:spacing w:after="0" w:line="240" w:lineRule="auto"/>
        <w:jc w:val="both"/>
        <w:rPr>
          <w:rFonts w:ascii="Calibri" w:hAnsi="Calibri" w:eastAsia="Times New Roman" w:cs="Calibri"/>
          <w:color w:val="00000A"/>
          <w:sz w:val="20"/>
          <w:szCs w:val="20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2"/>
          <w:szCs w:val="22"/>
          <w:vertAlign w:val="superscript"/>
          <w:lang w:val="ru-RU" w:eastAsia="en-US" w:bidi="ar-SA"/>
        </w:rPr>
        <w:footnoteRef/>
      </w: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eastAsia="en-US" w:bidi="ar-SA"/>
        </w:rPr>
        <w:t>В случае, если в иных разделах Правил благоустройства также содержатся запреты, ранее установленные запреты следует проанализировать и, при необходимости, дополнить запретами, указанными в данном пункте.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A01C7">
    <w:pPr>
      <w:tabs>
        <w:tab w:val="center" w:pos="4677"/>
        <w:tab w:val="right" w:pos="9355"/>
      </w:tabs>
      <w:spacing w:after="0" w:line="240" w:lineRule="auto"/>
      <w:jc w:val="center"/>
      <w:rPr>
        <w:rFonts w:ascii="Calibri" w:hAnsi="Calibri" w:eastAsia="Times New Roman" w:cs="Times New Roman"/>
        <w:color w:val="00000A"/>
        <w:sz w:val="22"/>
        <w:szCs w:val="22"/>
        <w:lang w:val="ru-RU" w:eastAsia="en-US" w:bidi="ar-SA"/>
      </w:rPr>
    </w:pPr>
    <w:r>
      <w:rPr>
        <w:rFonts w:ascii="Calibri" w:hAnsi="Calibri" w:eastAsia="Times New Roman" w:cs="Calibri"/>
        <w:color w:val="00000A"/>
        <w:sz w:val="22"/>
        <w:szCs w:val="22"/>
        <w:lang w:val="ru-RU" w:eastAsia="en-US" w:bidi="ar-SA"/>
      </w:rPr>
      <w:fldChar w:fldCharType="begin"/>
    </w:r>
    <w:r>
      <w:rPr>
        <w:rFonts w:ascii="Calibri" w:hAnsi="Calibri" w:eastAsia="Times New Roman" w:cs="Calibri"/>
        <w:color w:val="00000A"/>
        <w:sz w:val="22"/>
        <w:szCs w:val="22"/>
        <w:lang w:val="ru-RU" w:eastAsia="en-US" w:bidi="ar-SA"/>
      </w:rPr>
      <w:instrText xml:space="preserve">PAGE</w:instrText>
    </w:r>
    <w:r>
      <w:rPr>
        <w:rFonts w:ascii="Calibri" w:hAnsi="Calibri" w:eastAsia="Times New Roman" w:cs="Calibri"/>
        <w:color w:val="00000A"/>
        <w:sz w:val="22"/>
        <w:szCs w:val="22"/>
        <w:lang w:val="ru-RU" w:eastAsia="en-US" w:bidi="ar-SA"/>
      </w:rPr>
      <w:fldChar w:fldCharType="separate"/>
    </w:r>
    <w:r>
      <w:rPr>
        <w:rFonts w:ascii="Calibri" w:hAnsi="Calibri" w:eastAsia="Times New Roman" w:cs="Calibri"/>
        <w:color w:val="00000A"/>
        <w:sz w:val="22"/>
        <w:szCs w:val="22"/>
        <w:lang w:val="ru-RU" w:eastAsia="en-US" w:bidi="ar-SA"/>
      </w:rPr>
      <w:t>4</w:t>
    </w:r>
    <w:r>
      <w:rPr>
        <w:rFonts w:ascii="Calibri" w:hAnsi="Calibri" w:eastAsia="Times New Roman" w:cs="Calibri"/>
        <w:color w:val="00000A"/>
        <w:sz w:val="22"/>
        <w:szCs w:val="22"/>
        <w:lang w:val="ru-RU" w:eastAsia="en-US" w:bidi="ar-SA"/>
      </w:rPr>
      <w:fldChar w:fldCharType="end"/>
    </w:r>
  </w:p>
  <w:p w14:paraId="7E230588">
    <w:pPr>
      <w:tabs>
        <w:tab w:val="center" w:pos="4677"/>
        <w:tab w:val="right" w:pos="9355"/>
      </w:tabs>
      <w:spacing w:after="0" w:line="240" w:lineRule="auto"/>
      <w:rPr>
        <w:rFonts w:ascii="Calibri" w:hAnsi="Calibri" w:eastAsia="Times New Roman" w:cs="Times New Roman"/>
        <w:color w:val="00000A"/>
        <w:sz w:val="22"/>
        <w:szCs w:val="22"/>
        <w:lang w:val="ru-RU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4"/>
    <w:footnote w:id="5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83474"/>
    <w:rsid w:val="105F2646"/>
    <w:rsid w:val="2B383474"/>
    <w:rsid w:val="4D7A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2025-09-05T06:05:00Z</dcterms:created>
  <dc:creator>Нагавская</dc:creator>
  <cp:lastModifiedBy>Нагавская</cp:lastModifiedBy>
  <cp:lastPrinted>2025-10-16T08:32:33Z</cp:lastPrinted>
  <dcterms:modified xsi:type="dcterms:W3CDTF">2025-10-16T08:33:17Z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328AF22DF2624585B568FB6EBA983279_11</vt:lpwstr>
  </property>
</Properties>
</file>